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2A" w:rsidRDefault="0039082A" w:rsidP="00430578">
      <w:pPr>
        <w:ind w:firstLineChars="100" w:firstLine="251"/>
        <w:rPr>
          <w:rFonts w:asciiTheme="majorEastAsia" w:eastAsiaTheme="majorEastAsia" w:hAnsiTheme="majorEastAsia"/>
          <w:b/>
          <w:sz w:val="25"/>
          <w:szCs w:val="25"/>
        </w:rPr>
      </w:pPr>
    </w:p>
    <w:p w:rsidR="00E24945" w:rsidRPr="00FD31BA" w:rsidRDefault="00E24945" w:rsidP="00633619">
      <w:pPr>
        <w:spacing w:afterLines="50" w:after="170"/>
        <w:ind w:firstLineChars="100" w:firstLine="251"/>
        <w:rPr>
          <w:rFonts w:asciiTheme="majorEastAsia" w:eastAsiaTheme="majorEastAsia" w:hAnsiTheme="majorEastAsia"/>
          <w:b/>
          <w:sz w:val="25"/>
          <w:szCs w:val="25"/>
        </w:rPr>
      </w:pPr>
      <w:r w:rsidRPr="00FD31BA">
        <w:rPr>
          <w:rFonts w:asciiTheme="majorEastAsia" w:eastAsiaTheme="majorEastAsia" w:hAnsiTheme="majorEastAsia" w:hint="eastAsia"/>
          <w:b/>
          <w:sz w:val="25"/>
          <w:szCs w:val="25"/>
        </w:rPr>
        <w:t>［提言１］　被爆都市ヒロシマとダークツーリズム</w:t>
      </w:r>
    </w:p>
    <w:tbl>
      <w:tblPr>
        <w:tblStyle w:val="ab"/>
        <w:tblW w:w="9072" w:type="dxa"/>
        <w:tblInd w:w="675" w:type="dxa"/>
        <w:tblLook w:val="04A0" w:firstRow="1" w:lastRow="0" w:firstColumn="1" w:lastColumn="0" w:noHBand="0" w:noVBand="1"/>
      </w:tblPr>
      <w:tblGrid>
        <w:gridCol w:w="9072"/>
      </w:tblGrid>
      <w:tr w:rsidR="002848BC" w:rsidTr="00430578">
        <w:trPr>
          <w:trHeight w:val="403"/>
        </w:trPr>
        <w:tc>
          <w:tcPr>
            <w:tcW w:w="9072" w:type="dxa"/>
          </w:tcPr>
          <w:p w:rsidR="002848BC" w:rsidRPr="007D27DF" w:rsidRDefault="002848BC" w:rsidP="0039082A">
            <w:pPr>
              <w:spacing w:beforeLines="50" w:before="170" w:line="320" w:lineRule="exact"/>
              <w:ind w:firstLineChars="100" w:firstLine="240"/>
              <w:rPr>
                <w:sz w:val="24"/>
                <w:szCs w:val="24"/>
              </w:rPr>
            </w:pPr>
            <w:r w:rsidRPr="007D27DF">
              <w:rPr>
                <w:rFonts w:hint="eastAsia"/>
                <w:sz w:val="24"/>
                <w:szCs w:val="24"/>
              </w:rPr>
              <w:t>世界的に知名度がある平和記念資料館や原爆ドームには年間１４０万人以上の方が訪れ</w:t>
            </w:r>
            <w:bookmarkStart w:id="0" w:name="_GoBack"/>
            <w:bookmarkEnd w:id="0"/>
            <w:r w:rsidRPr="007D27DF">
              <w:rPr>
                <w:rFonts w:hint="eastAsia"/>
                <w:sz w:val="24"/>
                <w:szCs w:val="24"/>
              </w:rPr>
              <w:t>る。今後とも、被爆都市ヒロシマとしては更に多くの方に来広していただき被爆体験を伝承していく責務がある。その</w:t>
            </w:r>
            <w:r w:rsidR="002F222E" w:rsidRPr="007D27DF">
              <w:rPr>
                <w:rFonts w:hint="eastAsia"/>
                <w:sz w:val="24"/>
                <w:szCs w:val="24"/>
              </w:rPr>
              <w:t>ためには、現存する被爆建物を積極的に活用するとともに教育委員会</w:t>
            </w:r>
            <w:r w:rsidRPr="007D27DF">
              <w:rPr>
                <w:rFonts w:hint="eastAsia"/>
                <w:sz w:val="24"/>
                <w:szCs w:val="24"/>
              </w:rPr>
              <w:t>と連携した教育旅行などの推進を図っていく必要がある。</w:t>
            </w:r>
          </w:p>
          <w:p w:rsidR="002848BC" w:rsidRPr="002848BC" w:rsidRDefault="002848BC" w:rsidP="0039082A">
            <w:pPr>
              <w:spacing w:afterLines="50" w:after="170" w:line="320" w:lineRule="exact"/>
              <w:ind w:firstLineChars="100" w:firstLine="240"/>
              <w:rPr>
                <w:b/>
                <w:sz w:val="22"/>
              </w:rPr>
            </w:pPr>
            <w:r w:rsidRPr="007D27DF">
              <w:rPr>
                <w:rFonts w:hint="eastAsia"/>
                <w:sz w:val="24"/>
                <w:szCs w:val="24"/>
              </w:rPr>
              <w:t>具体的には、被服支廠、頼山陽文徳殿を始めとした被爆建物と被爆証言を組み合わせることや夜の原爆ドームの活用などにより、よりインパクトと集客力のある、体験・滞在型のツアーが可能となる。こうした平和施策と観光施策とを連携させるとともにダークツーリズムの観点も取り入れ、より効果的な施策を実施されたい。</w:t>
            </w:r>
          </w:p>
        </w:tc>
      </w:tr>
    </w:tbl>
    <w:p w:rsidR="00430578" w:rsidRDefault="00430578" w:rsidP="0039082A">
      <w:pPr>
        <w:spacing w:afterLines="50" w:after="170"/>
        <w:ind w:firstLineChars="50" w:firstLine="125"/>
        <w:rPr>
          <w:rFonts w:asciiTheme="majorEastAsia" w:eastAsiaTheme="majorEastAsia" w:hAnsiTheme="majorEastAsia"/>
          <w:b/>
          <w:sz w:val="25"/>
          <w:szCs w:val="25"/>
        </w:rPr>
      </w:pPr>
    </w:p>
    <w:p w:rsidR="00E24945" w:rsidRPr="00FD31BA" w:rsidRDefault="00E24945" w:rsidP="00633619">
      <w:pPr>
        <w:spacing w:afterLines="50" w:after="170"/>
        <w:ind w:firstLineChars="100" w:firstLine="251"/>
        <w:rPr>
          <w:rFonts w:asciiTheme="majorEastAsia" w:eastAsiaTheme="majorEastAsia" w:hAnsiTheme="majorEastAsia"/>
          <w:b/>
          <w:sz w:val="25"/>
          <w:szCs w:val="25"/>
        </w:rPr>
      </w:pPr>
      <w:r w:rsidRPr="00FD31BA">
        <w:rPr>
          <w:rFonts w:asciiTheme="majorEastAsia" w:eastAsiaTheme="majorEastAsia" w:hAnsiTheme="majorEastAsia" w:hint="eastAsia"/>
          <w:b/>
          <w:sz w:val="25"/>
          <w:szCs w:val="25"/>
        </w:rPr>
        <w:t>［提言２］　広島ブランドの充実とニューツーリズムの創出</w:t>
      </w:r>
    </w:p>
    <w:tbl>
      <w:tblPr>
        <w:tblStyle w:val="ab"/>
        <w:tblW w:w="0" w:type="auto"/>
        <w:tblInd w:w="675" w:type="dxa"/>
        <w:tblLook w:val="04A0" w:firstRow="1" w:lastRow="0" w:firstColumn="1" w:lastColumn="0" w:noHBand="0" w:noVBand="1"/>
      </w:tblPr>
      <w:tblGrid>
        <w:gridCol w:w="9048"/>
      </w:tblGrid>
      <w:tr w:rsidR="006432E7" w:rsidRPr="007D27DF" w:rsidTr="00430578">
        <w:tc>
          <w:tcPr>
            <w:tcW w:w="9048" w:type="dxa"/>
          </w:tcPr>
          <w:p w:rsidR="006432E7" w:rsidRPr="007D27DF" w:rsidRDefault="006432E7" w:rsidP="0039082A">
            <w:pPr>
              <w:spacing w:beforeLines="50" w:before="170" w:line="320" w:lineRule="exact"/>
              <w:ind w:firstLineChars="100" w:firstLine="240"/>
              <w:rPr>
                <w:sz w:val="24"/>
                <w:szCs w:val="24"/>
              </w:rPr>
            </w:pPr>
            <w:r w:rsidRPr="007D27DF">
              <w:rPr>
                <w:rFonts w:hint="eastAsia"/>
                <w:sz w:val="24"/>
                <w:szCs w:val="24"/>
              </w:rPr>
              <w:t>平和都市広島はゆるぎない世界ブランドであるが、観光都市としての新たな広島ブランドとして、まちの魅力を磨いて発信していく必要がある。</w:t>
            </w:r>
          </w:p>
          <w:p w:rsidR="006432E7" w:rsidRPr="007D27DF" w:rsidRDefault="006432E7" w:rsidP="0039082A">
            <w:pPr>
              <w:spacing w:line="320" w:lineRule="exact"/>
              <w:ind w:firstLineChars="100" w:firstLine="240"/>
              <w:rPr>
                <w:sz w:val="24"/>
                <w:szCs w:val="24"/>
              </w:rPr>
            </w:pPr>
            <w:r w:rsidRPr="007D27DF">
              <w:rPr>
                <w:rFonts w:hint="eastAsia"/>
                <w:sz w:val="24"/>
                <w:szCs w:val="24"/>
              </w:rPr>
              <w:t>都市観光の魅力は、町や界隈・路地を回遊する楽しみや、海や川など自然に触れる楽しみ、買物、食、伝統・文化、スキーや海水浴などのスポーツ、夜景を含めたイブニングライフの楽しみにある。</w:t>
            </w:r>
          </w:p>
          <w:p w:rsidR="006432E7" w:rsidRPr="007D27DF" w:rsidRDefault="006432E7" w:rsidP="0039082A">
            <w:pPr>
              <w:spacing w:line="320" w:lineRule="exact"/>
              <w:ind w:firstLineChars="100" w:firstLine="240"/>
              <w:rPr>
                <w:sz w:val="24"/>
                <w:szCs w:val="24"/>
              </w:rPr>
            </w:pPr>
            <w:r w:rsidRPr="007D27DF">
              <w:rPr>
                <w:rFonts w:hint="eastAsia"/>
                <w:sz w:val="24"/>
                <w:szCs w:val="24"/>
              </w:rPr>
              <w:t>広島にはこうした豊富な資源があり、これら既存の資源を加工することや、見せ方、伝え方を変えることなどにより、広島ブランドに磨きをかけることが可能となる。</w:t>
            </w:r>
          </w:p>
          <w:p w:rsidR="006432E7" w:rsidRPr="007D27DF" w:rsidRDefault="006432E7" w:rsidP="0039082A">
            <w:pPr>
              <w:spacing w:afterLines="50" w:after="170" w:line="320" w:lineRule="exact"/>
              <w:ind w:firstLineChars="100" w:firstLine="240"/>
              <w:rPr>
                <w:b/>
                <w:sz w:val="24"/>
                <w:szCs w:val="24"/>
              </w:rPr>
            </w:pPr>
            <w:r w:rsidRPr="007D27DF">
              <w:rPr>
                <w:rFonts w:hint="eastAsia"/>
                <w:sz w:val="24"/>
                <w:szCs w:val="24"/>
              </w:rPr>
              <w:t>さらに、旅の目的のスタイルが団体から個人へ、物見遊山的な観光旅行から、体験・交流型、テーマ性の強い旅へと変化している中、こうしたニーズも踏まえつつ、例えば、中央卸売市場を築地のように観光化する、比治山の活用、有名建築物巡り、電車を活用した観光プログラムの開発など、広島ブランドの充実とニューツーリズムの創出に、関係者と連携して積極的に取り組まれたい。</w:t>
            </w:r>
          </w:p>
        </w:tc>
      </w:tr>
    </w:tbl>
    <w:p w:rsidR="00430578" w:rsidRDefault="00430578" w:rsidP="00FD31BA">
      <w:pPr>
        <w:spacing w:afterLines="50" w:after="170"/>
        <w:ind w:firstLineChars="150" w:firstLine="376"/>
        <w:rPr>
          <w:rFonts w:asciiTheme="majorEastAsia" w:eastAsiaTheme="majorEastAsia" w:hAnsiTheme="majorEastAsia"/>
          <w:b/>
          <w:sz w:val="25"/>
          <w:szCs w:val="25"/>
        </w:rPr>
      </w:pPr>
    </w:p>
    <w:p w:rsidR="00E24945" w:rsidRPr="00FD31BA" w:rsidRDefault="00E24945" w:rsidP="00430578">
      <w:pPr>
        <w:spacing w:afterLines="50" w:after="170"/>
        <w:ind w:firstLineChars="100" w:firstLine="251"/>
        <w:rPr>
          <w:rFonts w:asciiTheme="majorEastAsia" w:eastAsiaTheme="majorEastAsia" w:hAnsiTheme="majorEastAsia"/>
          <w:b/>
          <w:sz w:val="25"/>
          <w:szCs w:val="25"/>
        </w:rPr>
      </w:pPr>
      <w:r w:rsidRPr="00FD31BA">
        <w:rPr>
          <w:rFonts w:asciiTheme="majorEastAsia" w:eastAsiaTheme="majorEastAsia" w:hAnsiTheme="majorEastAsia" w:hint="eastAsia"/>
          <w:b/>
          <w:sz w:val="25"/>
          <w:szCs w:val="25"/>
        </w:rPr>
        <w:t>［提言３］　インバウンド新時代に向けた戦略的取組と受入環境整備の充実</w:t>
      </w:r>
    </w:p>
    <w:tbl>
      <w:tblPr>
        <w:tblStyle w:val="ab"/>
        <w:tblW w:w="0" w:type="auto"/>
        <w:tblInd w:w="675" w:type="dxa"/>
        <w:tblLook w:val="04A0" w:firstRow="1" w:lastRow="0" w:firstColumn="1" w:lastColumn="0" w:noHBand="0" w:noVBand="1"/>
      </w:tblPr>
      <w:tblGrid>
        <w:gridCol w:w="9048"/>
      </w:tblGrid>
      <w:tr w:rsidR="006432E7" w:rsidTr="002F222E">
        <w:tc>
          <w:tcPr>
            <w:tcW w:w="9048" w:type="dxa"/>
          </w:tcPr>
          <w:p w:rsidR="006432E7" w:rsidRPr="007D27DF" w:rsidRDefault="006432E7" w:rsidP="0039082A">
            <w:pPr>
              <w:spacing w:beforeLines="50" w:before="170" w:line="320" w:lineRule="exact"/>
              <w:ind w:firstLineChars="100" w:firstLine="240"/>
              <w:rPr>
                <w:sz w:val="24"/>
                <w:szCs w:val="24"/>
              </w:rPr>
            </w:pPr>
            <w:r w:rsidRPr="007D27DF">
              <w:rPr>
                <w:rFonts w:hint="eastAsia"/>
                <w:sz w:val="24"/>
                <w:szCs w:val="24"/>
              </w:rPr>
              <w:t>日本国内はもとより、世界各国から訪れる旅行者がストレスなく、安心かつ快適に観光を楽しめるよう、旅行者の移動や滞在を支える基盤をソフト・ハード両面から拡充していくことが重要である。</w:t>
            </w:r>
          </w:p>
          <w:p w:rsidR="006432E7" w:rsidRPr="007D27DF" w:rsidRDefault="00521DCB" w:rsidP="0039082A">
            <w:pPr>
              <w:spacing w:line="320" w:lineRule="exact"/>
              <w:rPr>
                <w:sz w:val="24"/>
                <w:szCs w:val="24"/>
              </w:rPr>
            </w:pPr>
            <w:r w:rsidRPr="007D27DF">
              <w:rPr>
                <w:rFonts w:hint="eastAsia"/>
                <w:sz w:val="24"/>
                <w:szCs w:val="24"/>
              </w:rPr>
              <w:t xml:space="preserve">　</w:t>
            </w:r>
            <w:r w:rsidR="006432E7" w:rsidRPr="007D27DF">
              <w:rPr>
                <w:rFonts w:hint="eastAsia"/>
                <w:sz w:val="24"/>
                <w:szCs w:val="24"/>
              </w:rPr>
              <w:t>特に、前述したように、外国人観光客の来広は、被爆の実相を体感していただくだ</w:t>
            </w:r>
            <w:r w:rsidR="00882A34">
              <w:rPr>
                <w:rFonts w:hint="eastAsia"/>
                <w:sz w:val="24"/>
                <w:szCs w:val="24"/>
              </w:rPr>
              <w:t>けでなく、地域の活性化にも大きな効果が期待できる。</w:t>
            </w:r>
            <w:r w:rsidR="006432E7" w:rsidRPr="007D27DF">
              <w:rPr>
                <w:rFonts w:hint="eastAsia"/>
                <w:sz w:val="24"/>
                <w:szCs w:val="24"/>
              </w:rPr>
              <w:t>来広外国人旅行者が</w:t>
            </w:r>
            <w:r w:rsidR="00882A34">
              <w:rPr>
                <w:rFonts w:hint="eastAsia"/>
                <w:sz w:val="24"/>
                <w:szCs w:val="24"/>
              </w:rPr>
              <w:t>平成２７年には初めて</w:t>
            </w:r>
            <w:r w:rsidR="00B9513A" w:rsidRPr="007D27DF">
              <w:rPr>
                <w:rFonts w:hint="eastAsia"/>
                <w:sz w:val="24"/>
                <w:szCs w:val="24"/>
              </w:rPr>
              <w:t>１００万人を超え</w:t>
            </w:r>
            <w:r w:rsidR="006C3155">
              <w:rPr>
                <w:rFonts w:hint="eastAsia"/>
                <w:sz w:val="24"/>
                <w:szCs w:val="24"/>
              </w:rPr>
              <w:t>、</w:t>
            </w:r>
            <w:r w:rsidR="00882A34">
              <w:rPr>
                <w:rFonts w:hint="eastAsia"/>
                <w:sz w:val="24"/>
                <w:szCs w:val="24"/>
              </w:rPr>
              <w:t>今後も大きく増加すること</w:t>
            </w:r>
            <w:r w:rsidR="006C3155">
              <w:rPr>
                <w:rFonts w:hint="eastAsia"/>
                <w:sz w:val="24"/>
                <w:szCs w:val="24"/>
              </w:rPr>
              <w:t>を</w:t>
            </w:r>
            <w:r w:rsidR="00B9513A" w:rsidRPr="007D27DF">
              <w:rPr>
                <w:rFonts w:hint="eastAsia"/>
                <w:sz w:val="24"/>
                <w:szCs w:val="24"/>
              </w:rPr>
              <w:t>見据えながら受入環境</w:t>
            </w:r>
            <w:r w:rsidR="006432E7" w:rsidRPr="007D27DF">
              <w:rPr>
                <w:rFonts w:hint="eastAsia"/>
                <w:sz w:val="24"/>
                <w:szCs w:val="24"/>
              </w:rPr>
              <w:t>の整備を進める必要がある。</w:t>
            </w:r>
          </w:p>
          <w:p w:rsidR="006432E7" w:rsidRDefault="006432E7" w:rsidP="0039082A">
            <w:pPr>
              <w:spacing w:afterLines="50" w:after="170" w:line="320" w:lineRule="exact"/>
              <w:ind w:firstLineChars="100" w:firstLine="240"/>
              <w:rPr>
                <w:sz w:val="22"/>
              </w:rPr>
            </w:pPr>
            <w:r w:rsidRPr="007D27DF">
              <w:rPr>
                <w:rFonts w:hint="eastAsia"/>
                <w:sz w:val="24"/>
                <w:szCs w:val="24"/>
              </w:rPr>
              <w:t>このため、観光プログラムの開発と充実はもちろんのこと、観光情報や案内標識の多言語化、Ｗｉ－Ｆｉ環境の整備、滞在スタイルの多様化への対応（民泊等）、市民のおもてなし機運の醸成等受入環境の更なる充実や、海外への魅力発信の強化に向けた取組を、外国人の視点も意識しながら積極的かつ戦略的に推進されたい。</w:t>
            </w:r>
          </w:p>
        </w:tc>
      </w:tr>
    </w:tbl>
    <w:p w:rsidR="00BD7172" w:rsidRDefault="00BD7172" w:rsidP="00BD7172">
      <w:pPr>
        <w:ind w:firstLineChars="200" w:firstLine="440"/>
        <w:rPr>
          <w:sz w:val="22"/>
        </w:rPr>
      </w:pPr>
    </w:p>
    <w:p w:rsidR="00BD7172" w:rsidRDefault="00BD7172" w:rsidP="00BD7172">
      <w:pPr>
        <w:ind w:firstLineChars="200" w:firstLine="440"/>
        <w:rPr>
          <w:sz w:val="22"/>
        </w:rPr>
      </w:pPr>
    </w:p>
    <w:p w:rsidR="00B14C58" w:rsidRPr="00FD31BA" w:rsidRDefault="00B14C58" w:rsidP="00430578">
      <w:pPr>
        <w:spacing w:afterLines="50" w:after="170"/>
        <w:ind w:firstLineChars="100" w:firstLine="251"/>
        <w:rPr>
          <w:rFonts w:asciiTheme="majorEastAsia" w:eastAsiaTheme="majorEastAsia" w:hAnsiTheme="majorEastAsia"/>
          <w:b/>
          <w:sz w:val="25"/>
          <w:szCs w:val="25"/>
        </w:rPr>
      </w:pPr>
      <w:r w:rsidRPr="00FD31BA">
        <w:rPr>
          <w:rFonts w:asciiTheme="majorEastAsia" w:eastAsiaTheme="majorEastAsia" w:hAnsiTheme="majorEastAsia" w:hint="eastAsia"/>
          <w:b/>
          <w:sz w:val="25"/>
          <w:szCs w:val="25"/>
        </w:rPr>
        <w:t>［提言４］　広域観光プロモーションの推進と情報発信の強化</w:t>
      </w:r>
    </w:p>
    <w:tbl>
      <w:tblPr>
        <w:tblStyle w:val="ab"/>
        <w:tblW w:w="0" w:type="auto"/>
        <w:tblInd w:w="675" w:type="dxa"/>
        <w:tblLook w:val="04A0" w:firstRow="1" w:lastRow="0" w:firstColumn="1" w:lastColumn="0" w:noHBand="0" w:noVBand="1"/>
      </w:tblPr>
      <w:tblGrid>
        <w:gridCol w:w="9048"/>
      </w:tblGrid>
      <w:tr w:rsidR="006432E7" w:rsidTr="00B14C58">
        <w:tc>
          <w:tcPr>
            <w:tcW w:w="9048" w:type="dxa"/>
          </w:tcPr>
          <w:p w:rsidR="00B14C58" w:rsidRPr="006A5BF4" w:rsidRDefault="00B14C58" w:rsidP="0039082A">
            <w:pPr>
              <w:spacing w:beforeLines="50" w:before="170" w:line="320" w:lineRule="exact"/>
              <w:ind w:firstLineChars="100" w:firstLine="240"/>
              <w:rPr>
                <w:sz w:val="24"/>
                <w:szCs w:val="24"/>
              </w:rPr>
            </w:pPr>
            <w:r w:rsidRPr="006A5BF4">
              <w:rPr>
                <w:rFonts w:hint="eastAsia"/>
                <w:sz w:val="24"/>
                <w:szCs w:val="24"/>
              </w:rPr>
              <w:t>旅行者の広域観光ニーズへの対応、域内における旅行者の長期滞在・周遊性の向上等を進めていくためには、観光地単独の取組にとどまらず、広域にまたがる観光地同士が連携・協力を図ることが重要である。</w:t>
            </w:r>
          </w:p>
          <w:p w:rsidR="006432E7" w:rsidRDefault="00B14C58" w:rsidP="0039082A">
            <w:pPr>
              <w:spacing w:afterLines="50" w:after="170" w:line="320" w:lineRule="exact"/>
              <w:ind w:firstLineChars="100" w:firstLine="240"/>
              <w:rPr>
                <w:sz w:val="22"/>
              </w:rPr>
            </w:pPr>
            <w:r w:rsidRPr="006A5BF4">
              <w:rPr>
                <w:rFonts w:hint="eastAsia"/>
                <w:sz w:val="24"/>
                <w:szCs w:val="24"/>
              </w:rPr>
              <w:t>このため、「２００万人広島都市圏構想」に基づく連携を始め、広島県との協働等により、ストーリー性のある広域観光プロモーションを展開するとともに、情報発信の強化に取り組まれたい。</w:t>
            </w:r>
          </w:p>
        </w:tc>
      </w:tr>
    </w:tbl>
    <w:p w:rsidR="00B14C58" w:rsidRPr="00B14C58" w:rsidRDefault="00B14C58" w:rsidP="00E24945">
      <w:pPr>
        <w:rPr>
          <w:sz w:val="22"/>
        </w:rPr>
      </w:pPr>
    </w:p>
    <w:p w:rsidR="00E24945" w:rsidRPr="00FD31BA" w:rsidRDefault="00E24945" w:rsidP="00430578">
      <w:pPr>
        <w:spacing w:afterLines="50" w:after="170"/>
        <w:ind w:firstLineChars="100" w:firstLine="251"/>
        <w:rPr>
          <w:rFonts w:asciiTheme="majorEastAsia" w:eastAsiaTheme="majorEastAsia" w:hAnsiTheme="majorEastAsia"/>
          <w:b/>
          <w:sz w:val="25"/>
          <w:szCs w:val="25"/>
        </w:rPr>
      </w:pPr>
      <w:r w:rsidRPr="00FD31BA">
        <w:rPr>
          <w:rFonts w:asciiTheme="majorEastAsia" w:eastAsiaTheme="majorEastAsia" w:hAnsiTheme="majorEastAsia" w:hint="eastAsia"/>
          <w:b/>
          <w:sz w:val="25"/>
          <w:szCs w:val="25"/>
        </w:rPr>
        <w:t>［提言５］　グローバルＭＩＣＥ強化都市としての展開</w:t>
      </w:r>
    </w:p>
    <w:tbl>
      <w:tblPr>
        <w:tblStyle w:val="ab"/>
        <w:tblW w:w="0" w:type="auto"/>
        <w:tblInd w:w="675" w:type="dxa"/>
        <w:tblLook w:val="04A0" w:firstRow="1" w:lastRow="0" w:firstColumn="1" w:lastColumn="0" w:noHBand="0" w:noVBand="1"/>
      </w:tblPr>
      <w:tblGrid>
        <w:gridCol w:w="9048"/>
      </w:tblGrid>
      <w:tr w:rsidR="00B14C58" w:rsidTr="00B14C58">
        <w:tc>
          <w:tcPr>
            <w:tcW w:w="9048" w:type="dxa"/>
          </w:tcPr>
          <w:p w:rsidR="00B14C58" w:rsidRPr="006A5BF4" w:rsidRDefault="00B14C58" w:rsidP="0039082A">
            <w:pPr>
              <w:spacing w:beforeLines="50" w:before="170" w:line="320" w:lineRule="exact"/>
              <w:ind w:firstLineChars="100" w:firstLine="240"/>
              <w:rPr>
                <w:sz w:val="24"/>
                <w:szCs w:val="24"/>
              </w:rPr>
            </w:pPr>
            <w:r w:rsidRPr="006A5BF4">
              <w:rPr>
                <w:rFonts w:hint="eastAsia"/>
                <w:sz w:val="24"/>
                <w:szCs w:val="24"/>
              </w:rPr>
              <w:t>ＭＩＣＥは会議開催、宿泊、飲食、観光等の経済・消費活動の裾野が広く、また滞在期間が比較的長いと言われており、一般的な観光客以上に周辺地域への経済効果を生み出すことが期待されている。</w:t>
            </w:r>
          </w:p>
          <w:p w:rsidR="00B14C58" w:rsidRDefault="00B14C58" w:rsidP="0039082A">
            <w:pPr>
              <w:spacing w:afterLines="50" w:after="170" w:line="320" w:lineRule="exact"/>
              <w:ind w:firstLineChars="100" w:firstLine="240"/>
              <w:rPr>
                <w:sz w:val="22"/>
              </w:rPr>
            </w:pPr>
            <w:r w:rsidRPr="006A5BF4">
              <w:rPr>
                <w:rFonts w:hint="eastAsia"/>
                <w:sz w:val="24"/>
                <w:szCs w:val="24"/>
              </w:rPr>
              <w:t>本市は平成２７年にグローバルＭＩＣＥ強化都市に選定されており、受皿となる会議場等のインフラ整備の具体的な検討を進めるとともに、他団体等と連携しながら、広島の強みや地域資源を活用したユニークベニューの導入等の戦略的な誘致活動に取り組まれたい。</w:t>
            </w:r>
          </w:p>
        </w:tc>
      </w:tr>
    </w:tbl>
    <w:p w:rsidR="002F222E" w:rsidRDefault="002F222E" w:rsidP="00BD7172">
      <w:pPr>
        <w:ind w:leftChars="200" w:left="420" w:firstLineChars="100" w:firstLine="220"/>
        <w:rPr>
          <w:sz w:val="22"/>
        </w:rPr>
      </w:pPr>
    </w:p>
    <w:sectPr w:rsidR="002F222E" w:rsidSect="0039082A">
      <w:footerReference w:type="default" r:id="rId9"/>
      <w:pgSz w:w="11906" w:h="16838" w:code="9"/>
      <w:pgMar w:top="1134" w:right="1247" w:bottom="284" w:left="1134" w:header="567" w:footer="284"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E9" w:rsidRDefault="005047E9" w:rsidP="009E62FD">
      <w:r>
        <w:separator/>
      </w:r>
    </w:p>
  </w:endnote>
  <w:endnote w:type="continuationSeparator" w:id="0">
    <w:p w:rsidR="005047E9" w:rsidRDefault="005047E9" w:rsidP="009E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5B" w:rsidRPr="00895EEA" w:rsidRDefault="00664E5B">
    <w:pPr>
      <w:pStyle w:val="a9"/>
      <w:jc w:val="center"/>
      <w:rPr>
        <w:rFonts w:asciiTheme="minorEastAsia" w:hAnsiTheme="minorEastAsia"/>
        <w:sz w:val="20"/>
        <w:szCs w:val="20"/>
      </w:rPr>
    </w:pPr>
  </w:p>
  <w:p w:rsidR="00664E5B" w:rsidRDefault="00664E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E9" w:rsidRDefault="005047E9" w:rsidP="009E62FD">
      <w:r>
        <w:separator/>
      </w:r>
    </w:p>
  </w:footnote>
  <w:footnote w:type="continuationSeparator" w:id="0">
    <w:p w:rsidR="005047E9" w:rsidRDefault="005047E9" w:rsidP="009E6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4CFE"/>
    <w:multiLevelType w:val="hybridMultilevel"/>
    <w:tmpl w:val="8592B0A6"/>
    <w:lvl w:ilvl="0" w:tplc="4240F4BC">
      <w:start w:val="1"/>
      <w:numFmt w:val="bullet"/>
      <w:lvlText w:val="◎"/>
      <w:lvlJc w:val="left"/>
      <w:pPr>
        <w:ind w:left="1023" w:hanging="360"/>
      </w:pPr>
      <w:rPr>
        <w:rFonts w:ascii="ＭＳ 明朝" w:eastAsia="ＭＳ 明朝" w:hAnsi="ＭＳ 明朝" w:cstheme="minorBidi"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
    <w:nsid w:val="2129583A"/>
    <w:multiLevelType w:val="hybridMultilevel"/>
    <w:tmpl w:val="8AC64B40"/>
    <w:lvl w:ilvl="0" w:tplc="43FED224">
      <w:start w:val="1"/>
      <w:numFmt w:val="decimalFullWidth"/>
      <w:lvlText w:val="（%1）"/>
      <w:lvlJc w:val="left"/>
      <w:pPr>
        <w:ind w:left="720" w:hanging="720"/>
      </w:pPr>
      <w:rPr>
        <w:rFonts w:hint="default"/>
        <w:lang w:val="en-US"/>
      </w:rPr>
    </w:lvl>
    <w:lvl w:ilvl="1" w:tplc="18EA0F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804A63"/>
    <w:multiLevelType w:val="hybridMultilevel"/>
    <w:tmpl w:val="FE4A2584"/>
    <w:lvl w:ilvl="0" w:tplc="7472973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6CA6611E"/>
    <w:multiLevelType w:val="hybridMultilevel"/>
    <w:tmpl w:val="22D2416E"/>
    <w:lvl w:ilvl="0" w:tplc="277C1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3"/>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B1"/>
    <w:rsid w:val="00002EA2"/>
    <w:rsid w:val="00005BA4"/>
    <w:rsid w:val="00011058"/>
    <w:rsid w:val="0001796E"/>
    <w:rsid w:val="00020F1F"/>
    <w:rsid w:val="0002605C"/>
    <w:rsid w:val="0003079E"/>
    <w:rsid w:val="0003329A"/>
    <w:rsid w:val="000336D4"/>
    <w:rsid w:val="0003600B"/>
    <w:rsid w:val="00036B2F"/>
    <w:rsid w:val="000406D8"/>
    <w:rsid w:val="00041F19"/>
    <w:rsid w:val="00043DB9"/>
    <w:rsid w:val="000524B5"/>
    <w:rsid w:val="00054601"/>
    <w:rsid w:val="00054DFE"/>
    <w:rsid w:val="00055756"/>
    <w:rsid w:val="0006222B"/>
    <w:rsid w:val="00071EEC"/>
    <w:rsid w:val="00072852"/>
    <w:rsid w:val="0007502F"/>
    <w:rsid w:val="000813AC"/>
    <w:rsid w:val="00082B18"/>
    <w:rsid w:val="00082DBC"/>
    <w:rsid w:val="0008704F"/>
    <w:rsid w:val="00087D8D"/>
    <w:rsid w:val="00097BDD"/>
    <w:rsid w:val="000A3299"/>
    <w:rsid w:val="000A3595"/>
    <w:rsid w:val="000A6A3B"/>
    <w:rsid w:val="000B03FA"/>
    <w:rsid w:val="000B1128"/>
    <w:rsid w:val="000B5056"/>
    <w:rsid w:val="000B6E39"/>
    <w:rsid w:val="000C2605"/>
    <w:rsid w:val="000C3E4F"/>
    <w:rsid w:val="000C7772"/>
    <w:rsid w:val="000D0760"/>
    <w:rsid w:val="000D16F2"/>
    <w:rsid w:val="000E0DF6"/>
    <w:rsid w:val="000E5017"/>
    <w:rsid w:val="000F4C8E"/>
    <w:rsid w:val="0010056B"/>
    <w:rsid w:val="00101CC1"/>
    <w:rsid w:val="001028E6"/>
    <w:rsid w:val="001036C6"/>
    <w:rsid w:val="0011265A"/>
    <w:rsid w:val="00117AB0"/>
    <w:rsid w:val="00125970"/>
    <w:rsid w:val="00131652"/>
    <w:rsid w:val="00133D4E"/>
    <w:rsid w:val="00135D27"/>
    <w:rsid w:val="00136D61"/>
    <w:rsid w:val="001370EA"/>
    <w:rsid w:val="00140139"/>
    <w:rsid w:val="00146A93"/>
    <w:rsid w:val="00153AA5"/>
    <w:rsid w:val="001566E6"/>
    <w:rsid w:val="00165D54"/>
    <w:rsid w:val="001759D2"/>
    <w:rsid w:val="00176171"/>
    <w:rsid w:val="00183353"/>
    <w:rsid w:val="00186E01"/>
    <w:rsid w:val="00187F2F"/>
    <w:rsid w:val="00193A84"/>
    <w:rsid w:val="001955E6"/>
    <w:rsid w:val="001A320B"/>
    <w:rsid w:val="001A5AD2"/>
    <w:rsid w:val="001A5F4E"/>
    <w:rsid w:val="001B73DD"/>
    <w:rsid w:val="001C0862"/>
    <w:rsid w:val="001D67C6"/>
    <w:rsid w:val="001E1331"/>
    <w:rsid w:val="001E3E6C"/>
    <w:rsid w:val="001E508B"/>
    <w:rsid w:val="001F29E4"/>
    <w:rsid w:val="001F6485"/>
    <w:rsid w:val="001F6F06"/>
    <w:rsid w:val="002141E8"/>
    <w:rsid w:val="00215F59"/>
    <w:rsid w:val="002162EC"/>
    <w:rsid w:val="0021642F"/>
    <w:rsid w:val="002171E6"/>
    <w:rsid w:val="002217F8"/>
    <w:rsid w:val="002242C2"/>
    <w:rsid w:val="00231B30"/>
    <w:rsid w:val="00231D3D"/>
    <w:rsid w:val="00234561"/>
    <w:rsid w:val="00241923"/>
    <w:rsid w:val="00246682"/>
    <w:rsid w:val="00247984"/>
    <w:rsid w:val="0025188E"/>
    <w:rsid w:val="00260EAF"/>
    <w:rsid w:val="00261F2C"/>
    <w:rsid w:val="002637D4"/>
    <w:rsid w:val="0027086A"/>
    <w:rsid w:val="002716E1"/>
    <w:rsid w:val="00277ADC"/>
    <w:rsid w:val="00282043"/>
    <w:rsid w:val="002848BC"/>
    <w:rsid w:val="0028564F"/>
    <w:rsid w:val="002913D2"/>
    <w:rsid w:val="002961A3"/>
    <w:rsid w:val="002A0D8D"/>
    <w:rsid w:val="002A2B17"/>
    <w:rsid w:val="002A6F69"/>
    <w:rsid w:val="002B3A2E"/>
    <w:rsid w:val="002B7912"/>
    <w:rsid w:val="002C1B71"/>
    <w:rsid w:val="002C74D4"/>
    <w:rsid w:val="002E1DD1"/>
    <w:rsid w:val="002E448E"/>
    <w:rsid w:val="002E65F9"/>
    <w:rsid w:val="002F0824"/>
    <w:rsid w:val="002F222E"/>
    <w:rsid w:val="002F65BE"/>
    <w:rsid w:val="002F701F"/>
    <w:rsid w:val="00307CF8"/>
    <w:rsid w:val="00313645"/>
    <w:rsid w:val="00315A16"/>
    <w:rsid w:val="00316508"/>
    <w:rsid w:val="003211B6"/>
    <w:rsid w:val="0033129A"/>
    <w:rsid w:val="00332854"/>
    <w:rsid w:val="003360CF"/>
    <w:rsid w:val="00343007"/>
    <w:rsid w:val="003513ED"/>
    <w:rsid w:val="003541E2"/>
    <w:rsid w:val="003553A8"/>
    <w:rsid w:val="003572F5"/>
    <w:rsid w:val="00377D33"/>
    <w:rsid w:val="003833F0"/>
    <w:rsid w:val="0038492E"/>
    <w:rsid w:val="00384CD4"/>
    <w:rsid w:val="00386BDC"/>
    <w:rsid w:val="0039082A"/>
    <w:rsid w:val="00391DA0"/>
    <w:rsid w:val="003944A7"/>
    <w:rsid w:val="003959C1"/>
    <w:rsid w:val="00397DFB"/>
    <w:rsid w:val="003A390B"/>
    <w:rsid w:val="003A7C27"/>
    <w:rsid w:val="003B18E8"/>
    <w:rsid w:val="003B1A69"/>
    <w:rsid w:val="003B1B22"/>
    <w:rsid w:val="003B2738"/>
    <w:rsid w:val="003C1A82"/>
    <w:rsid w:val="003C56AF"/>
    <w:rsid w:val="003D1D07"/>
    <w:rsid w:val="003D7563"/>
    <w:rsid w:val="003E5BD9"/>
    <w:rsid w:val="003F240B"/>
    <w:rsid w:val="003F3C9F"/>
    <w:rsid w:val="003F47EE"/>
    <w:rsid w:val="004004F5"/>
    <w:rsid w:val="00401071"/>
    <w:rsid w:val="0040113D"/>
    <w:rsid w:val="00407C2B"/>
    <w:rsid w:val="0041012A"/>
    <w:rsid w:val="004136AB"/>
    <w:rsid w:val="00415FB8"/>
    <w:rsid w:val="0041615F"/>
    <w:rsid w:val="00417E69"/>
    <w:rsid w:val="00423E63"/>
    <w:rsid w:val="0043022D"/>
    <w:rsid w:val="00430578"/>
    <w:rsid w:val="004364B4"/>
    <w:rsid w:val="00436CC3"/>
    <w:rsid w:val="00441FFD"/>
    <w:rsid w:val="00442D12"/>
    <w:rsid w:val="004442BE"/>
    <w:rsid w:val="00445B54"/>
    <w:rsid w:val="00453C93"/>
    <w:rsid w:val="00456AB1"/>
    <w:rsid w:val="00460C09"/>
    <w:rsid w:val="00462057"/>
    <w:rsid w:val="004624AF"/>
    <w:rsid w:val="00470BC3"/>
    <w:rsid w:val="0047275E"/>
    <w:rsid w:val="004815A8"/>
    <w:rsid w:val="004815AC"/>
    <w:rsid w:val="00483888"/>
    <w:rsid w:val="00483C00"/>
    <w:rsid w:val="00484CB5"/>
    <w:rsid w:val="00486830"/>
    <w:rsid w:val="00487746"/>
    <w:rsid w:val="00492171"/>
    <w:rsid w:val="004A009F"/>
    <w:rsid w:val="004A2FB1"/>
    <w:rsid w:val="004B05D2"/>
    <w:rsid w:val="004C2E00"/>
    <w:rsid w:val="004C5B18"/>
    <w:rsid w:val="004D4F62"/>
    <w:rsid w:val="004E207B"/>
    <w:rsid w:val="004F0688"/>
    <w:rsid w:val="004F7025"/>
    <w:rsid w:val="004F7F6B"/>
    <w:rsid w:val="00500151"/>
    <w:rsid w:val="00504230"/>
    <w:rsid w:val="0050449D"/>
    <w:rsid w:val="005047E9"/>
    <w:rsid w:val="00504EFD"/>
    <w:rsid w:val="00514856"/>
    <w:rsid w:val="00517052"/>
    <w:rsid w:val="00520352"/>
    <w:rsid w:val="00520390"/>
    <w:rsid w:val="0052064E"/>
    <w:rsid w:val="00521DCB"/>
    <w:rsid w:val="00526C78"/>
    <w:rsid w:val="005302A8"/>
    <w:rsid w:val="00530684"/>
    <w:rsid w:val="00532A62"/>
    <w:rsid w:val="00532D58"/>
    <w:rsid w:val="005349B4"/>
    <w:rsid w:val="00537F2D"/>
    <w:rsid w:val="00550BFE"/>
    <w:rsid w:val="00551FD9"/>
    <w:rsid w:val="005576D8"/>
    <w:rsid w:val="00560E28"/>
    <w:rsid w:val="00563A73"/>
    <w:rsid w:val="00564AE2"/>
    <w:rsid w:val="00570BAB"/>
    <w:rsid w:val="0057117B"/>
    <w:rsid w:val="00571794"/>
    <w:rsid w:val="00573EF3"/>
    <w:rsid w:val="0057456C"/>
    <w:rsid w:val="0057546B"/>
    <w:rsid w:val="00580C8B"/>
    <w:rsid w:val="00581C81"/>
    <w:rsid w:val="00582DCA"/>
    <w:rsid w:val="00584ADC"/>
    <w:rsid w:val="0059318C"/>
    <w:rsid w:val="005A0B6A"/>
    <w:rsid w:val="005A0E11"/>
    <w:rsid w:val="005A278A"/>
    <w:rsid w:val="005A44E6"/>
    <w:rsid w:val="005B26EF"/>
    <w:rsid w:val="005B2813"/>
    <w:rsid w:val="005B58AB"/>
    <w:rsid w:val="005E0800"/>
    <w:rsid w:val="005E3B41"/>
    <w:rsid w:val="005E4595"/>
    <w:rsid w:val="005E4949"/>
    <w:rsid w:val="005E5385"/>
    <w:rsid w:val="005F34BA"/>
    <w:rsid w:val="00606EAF"/>
    <w:rsid w:val="0060759C"/>
    <w:rsid w:val="00607939"/>
    <w:rsid w:val="0061079D"/>
    <w:rsid w:val="006124FE"/>
    <w:rsid w:val="00617F49"/>
    <w:rsid w:val="00623F07"/>
    <w:rsid w:val="00624A13"/>
    <w:rsid w:val="00626D20"/>
    <w:rsid w:val="00627110"/>
    <w:rsid w:val="00633619"/>
    <w:rsid w:val="006336D3"/>
    <w:rsid w:val="00635E92"/>
    <w:rsid w:val="006367B3"/>
    <w:rsid w:val="006432E7"/>
    <w:rsid w:val="00644419"/>
    <w:rsid w:val="006462A7"/>
    <w:rsid w:val="006476C4"/>
    <w:rsid w:val="00647FB7"/>
    <w:rsid w:val="006519B4"/>
    <w:rsid w:val="006544CD"/>
    <w:rsid w:val="00654746"/>
    <w:rsid w:val="00657FC7"/>
    <w:rsid w:val="00660635"/>
    <w:rsid w:val="00662EDD"/>
    <w:rsid w:val="00664E5B"/>
    <w:rsid w:val="0067364D"/>
    <w:rsid w:val="006763A5"/>
    <w:rsid w:val="00677BC4"/>
    <w:rsid w:val="00691668"/>
    <w:rsid w:val="00695AD6"/>
    <w:rsid w:val="00695E5C"/>
    <w:rsid w:val="006A5BF4"/>
    <w:rsid w:val="006B6A1B"/>
    <w:rsid w:val="006B7F6C"/>
    <w:rsid w:val="006C0C2B"/>
    <w:rsid w:val="006C0F9B"/>
    <w:rsid w:val="006C2C60"/>
    <w:rsid w:val="006C3155"/>
    <w:rsid w:val="006C54B9"/>
    <w:rsid w:val="006C62CB"/>
    <w:rsid w:val="006D059C"/>
    <w:rsid w:val="006D475B"/>
    <w:rsid w:val="006E72F3"/>
    <w:rsid w:val="006F1CC6"/>
    <w:rsid w:val="00705E85"/>
    <w:rsid w:val="00706E6E"/>
    <w:rsid w:val="007079D3"/>
    <w:rsid w:val="00707FA6"/>
    <w:rsid w:val="00712682"/>
    <w:rsid w:val="00717995"/>
    <w:rsid w:val="00720737"/>
    <w:rsid w:val="007277A3"/>
    <w:rsid w:val="00727BA7"/>
    <w:rsid w:val="00734214"/>
    <w:rsid w:val="00734439"/>
    <w:rsid w:val="007352C9"/>
    <w:rsid w:val="007424BC"/>
    <w:rsid w:val="00743AB1"/>
    <w:rsid w:val="00746D1A"/>
    <w:rsid w:val="0075104F"/>
    <w:rsid w:val="00757265"/>
    <w:rsid w:val="00757B03"/>
    <w:rsid w:val="00757F7C"/>
    <w:rsid w:val="00760E35"/>
    <w:rsid w:val="00764C50"/>
    <w:rsid w:val="007823FA"/>
    <w:rsid w:val="00784E45"/>
    <w:rsid w:val="00784E87"/>
    <w:rsid w:val="00784EAE"/>
    <w:rsid w:val="00786AAD"/>
    <w:rsid w:val="00790E01"/>
    <w:rsid w:val="007C07CB"/>
    <w:rsid w:val="007D0026"/>
    <w:rsid w:val="007D27DF"/>
    <w:rsid w:val="007D7893"/>
    <w:rsid w:val="007E5690"/>
    <w:rsid w:val="007E72FE"/>
    <w:rsid w:val="007F576A"/>
    <w:rsid w:val="008001C3"/>
    <w:rsid w:val="00813510"/>
    <w:rsid w:val="00822DBE"/>
    <w:rsid w:val="00826091"/>
    <w:rsid w:val="008271CC"/>
    <w:rsid w:val="0083056E"/>
    <w:rsid w:val="00840705"/>
    <w:rsid w:val="0084273E"/>
    <w:rsid w:val="008432DE"/>
    <w:rsid w:val="0084522A"/>
    <w:rsid w:val="008460C5"/>
    <w:rsid w:val="008472FA"/>
    <w:rsid w:val="00852446"/>
    <w:rsid w:val="00852A7C"/>
    <w:rsid w:val="00856F18"/>
    <w:rsid w:val="008600EA"/>
    <w:rsid w:val="008621EF"/>
    <w:rsid w:val="00865072"/>
    <w:rsid w:val="00865CF7"/>
    <w:rsid w:val="008734C1"/>
    <w:rsid w:val="00873BBB"/>
    <w:rsid w:val="00873DB1"/>
    <w:rsid w:val="00877106"/>
    <w:rsid w:val="0088014B"/>
    <w:rsid w:val="00881D65"/>
    <w:rsid w:val="00882A34"/>
    <w:rsid w:val="00887385"/>
    <w:rsid w:val="00890D30"/>
    <w:rsid w:val="00890EB3"/>
    <w:rsid w:val="00893C4D"/>
    <w:rsid w:val="00895EEA"/>
    <w:rsid w:val="008967E4"/>
    <w:rsid w:val="0089729A"/>
    <w:rsid w:val="008A5367"/>
    <w:rsid w:val="008B7195"/>
    <w:rsid w:val="008C18F3"/>
    <w:rsid w:val="008C575A"/>
    <w:rsid w:val="008D2BB0"/>
    <w:rsid w:val="008D484B"/>
    <w:rsid w:val="008E18EC"/>
    <w:rsid w:val="008E1FE2"/>
    <w:rsid w:val="008E2B83"/>
    <w:rsid w:val="008E453B"/>
    <w:rsid w:val="008F2916"/>
    <w:rsid w:val="008F7A26"/>
    <w:rsid w:val="00907221"/>
    <w:rsid w:val="0091213D"/>
    <w:rsid w:val="00912DD2"/>
    <w:rsid w:val="00913C48"/>
    <w:rsid w:val="00915439"/>
    <w:rsid w:val="00915708"/>
    <w:rsid w:val="00917B29"/>
    <w:rsid w:val="00923559"/>
    <w:rsid w:val="00930554"/>
    <w:rsid w:val="00932F73"/>
    <w:rsid w:val="00946F1C"/>
    <w:rsid w:val="00950FF0"/>
    <w:rsid w:val="00954C10"/>
    <w:rsid w:val="00957022"/>
    <w:rsid w:val="009628E6"/>
    <w:rsid w:val="00966F5B"/>
    <w:rsid w:val="0097215B"/>
    <w:rsid w:val="00976625"/>
    <w:rsid w:val="00976ADF"/>
    <w:rsid w:val="00980FAD"/>
    <w:rsid w:val="00984A6C"/>
    <w:rsid w:val="00986DD7"/>
    <w:rsid w:val="00987747"/>
    <w:rsid w:val="00992576"/>
    <w:rsid w:val="0099543E"/>
    <w:rsid w:val="00997AE5"/>
    <w:rsid w:val="009A3C65"/>
    <w:rsid w:val="009A4DB1"/>
    <w:rsid w:val="009A5A21"/>
    <w:rsid w:val="009C0CBA"/>
    <w:rsid w:val="009C1408"/>
    <w:rsid w:val="009C1FEC"/>
    <w:rsid w:val="009C6550"/>
    <w:rsid w:val="009D0725"/>
    <w:rsid w:val="009D3E59"/>
    <w:rsid w:val="009E0235"/>
    <w:rsid w:val="009E5D70"/>
    <w:rsid w:val="009E62FD"/>
    <w:rsid w:val="009F1325"/>
    <w:rsid w:val="009F6582"/>
    <w:rsid w:val="009F66D9"/>
    <w:rsid w:val="00A00B78"/>
    <w:rsid w:val="00A023C8"/>
    <w:rsid w:val="00A0309F"/>
    <w:rsid w:val="00A0468A"/>
    <w:rsid w:val="00A14D61"/>
    <w:rsid w:val="00A1519D"/>
    <w:rsid w:val="00A20661"/>
    <w:rsid w:val="00A2447B"/>
    <w:rsid w:val="00A31D6A"/>
    <w:rsid w:val="00A3588B"/>
    <w:rsid w:val="00A362ED"/>
    <w:rsid w:val="00A36EE2"/>
    <w:rsid w:val="00A41318"/>
    <w:rsid w:val="00A42C66"/>
    <w:rsid w:val="00A46E53"/>
    <w:rsid w:val="00A50733"/>
    <w:rsid w:val="00A55E5F"/>
    <w:rsid w:val="00A65256"/>
    <w:rsid w:val="00A71B09"/>
    <w:rsid w:val="00A751F8"/>
    <w:rsid w:val="00A75E49"/>
    <w:rsid w:val="00A85B22"/>
    <w:rsid w:val="00AA56C5"/>
    <w:rsid w:val="00AB15B1"/>
    <w:rsid w:val="00AB18AF"/>
    <w:rsid w:val="00AB5AD3"/>
    <w:rsid w:val="00AB7B35"/>
    <w:rsid w:val="00AC0264"/>
    <w:rsid w:val="00AC423A"/>
    <w:rsid w:val="00AC5BC9"/>
    <w:rsid w:val="00AC60C2"/>
    <w:rsid w:val="00AD690D"/>
    <w:rsid w:val="00AD76E2"/>
    <w:rsid w:val="00AD778A"/>
    <w:rsid w:val="00AE2A33"/>
    <w:rsid w:val="00AF1ABB"/>
    <w:rsid w:val="00AF4528"/>
    <w:rsid w:val="00B02F23"/>
    <w:rsid w:val="00B0542E"/>
    <w:rsid w:val="00B05529"/>
    <w:rsid w:val="00B06675"/>
    <w:rsid w:val="00B13A5A"/>
    <w:rsid w:val="00B14C58"/>
    <w:rsid w:val="00B179F7"/>
    <w:rsid w:val="00B17A24"/>
    <w:rsid w:val="00B238D0"/>
    <w:rsid w:val="00B33B77"/>
    <w:rsid w:val="00B363B1"/>
    <w:rsid w:val="00B52723"/>
    <w:rsid w:val="00B60692"/>
    <w:rsid w:val="00B630C8"/>
    <w:rsid w:val="00B63C50"/>
    <w:rsid w:val="00B64BD6"/>
    <w:rsid w:val="00B652CE"/>
    <w:rsid w:val="00B8073A"/>
    <w:rsid w:val="00B80AB1"/>
    <w:rsid w:val="00B82E2E"/>
    <w:rsid w:val="00B84D12"/>
    <w:rsid w:val="00B85FEB"/>
    <w:rsid w:val="00B86677"/>
    <w:rsid w:val="00B9173D"/>
    <w:rsid w:val="00B91EEF"/>
    <w:rsid w:val="00B92616"/>
    <w:rsid w:val="00B92C1D"/>
    <w:rsid w:val="00B9471C"/>
    <w:rsid w:val="00B9513A"/>
    <w:rsid w:val="00B97C59"/>
    <w:rsid w:val="00BA0821"/>
    <w:rsid w:val="00BA1D61"/>
    <w:rsid w:val="00BA53C0"/>
    <w:rsid w:val="00BA7A8A"/>
    <w:rsid w:val="00BA7F7F"/>
    <w:rsid w:val="00BB0142"/>
    <w:rsid w:val="00BB067D"/>
    <w:rsid w:val="00BB5823"/>
    <w:rsid w:val="00BC2A72"/>
    <w:rsid w:val="00BD21ED"/>
    <w:rsid w:val="00BD3122"/>
    <w:rsid w:val="00BD5FF5"/>
    <w:rsid w:val="00BD67C5"/>
    <w:rsid w:val="00BD7172"/>
    <w:rsid w:val="00BD7E2E"/>
    <w:rsid w:val="00BE0179"/>
    <w:rsid w:val="00BE26D5"/>
    <w:rsid w:val="00BE399A"/>
    <w:rsid w:val="00BF11A6"/>
    <w:rsid w:val="00BF40F2"/>
    <w:rsid w:val="00BF5F41"/>
    <w:rsid w:val="00C02194"/>
    <w:rsid w:val="00C039A6"/>
    <w:rsid w:val="00C05EB0"/>
    <w:rsid w:val="00C130A0"/>
    <w:rsid w:val="00C15C7A"/>
    <w:rsid w:val="00C16457"/>
    <w:rsid w:val="00C17188"/>
    <w:rsid w:val="00C22311"/>
    <w:rsid w:val="00C235E8"/>
    <w:rsid w:val="00C24140"/>
    <w:rsid w:val="00C273BE"/>
    <w:rsid w:val="00C30305"/>
    <w:rsid w:val="00C35CDB"/>
    <w:rsid w:val="00C43975"/>
    <w:rsid w:val="00C46101"/>
    <w:rsid w:val="00C46776"/>
    <w:rsid w:val="00C4742C"/>
    <w:rsid w:val="00C54EE1"/>
    <w:rsid w:val="00C57460"/>
    <w:rsid w:val="00C57EA9"/>
    <w:rsid w:val="00C70CB3"/>
    <w:rsid w:val="00C741F3"/>
    <w:rsid w:val="00C82CAD"/>
    <w:rsid w:val="00C83299"/>
    <w:rsid w:val="00C94B99"/>
    <w:rsid w:val="00CA204A"/>
    <w:rsid w:val="00CA29D8"/>
    <w:rsid w:val="00CB17B3"/>
    <w:rsid w:val="00CB6C5D"/>
    <w:rsid w:val="00CC0489"/>
    <w:rsid w:val="00CC04CE"/>
    <w:rsid w:val="00CC1523"/>
    <w:rsid w:val="00CC3110"/>
    <w:rsid w:val="00CC5F47"/>
    <w:rsid w:val="00CD0A0C"/>
    <w:rsid w:val="00CD0ED2"/>
    <w:rsid w:val="00CD0FD7"/>
    <w:rsid w:val="00CD102C"/>
    <w:rsid w:val="00CD155E"/>
    <w:rsid w:val="00CD5E45"/>
    <w:rsid w:val="00CD6EA3"/>
    <w:rsid w:val="00CE5741"/>
    <w:rsid w:val="00CE5DC3"/>
    <w:rsid w:val="00CF51CB"/>
    <w:rsid w:val="00D045ED"/>
    <w:rsid w:val="00D15DD4"/>
    <w:rsid w:val="00D235B4"/>
    <w:rsid w:val="00D23F6D"/>
    <w:rsid w:val="00D310FD"/>
    <w:rsid w:val="00D463EE"/>
    <w:rsid w:val="00D50CA1"/>
    <w:rsid w:val="00D540F1"/>
    <w:rsid w:val="00D6562D"/>
    <w:rsid w:val="00D66487"/>
    <w:rsid w:val="00D67D45"/>
    <w:rsid w:val="00D720D4"/>
    <w:rsid w:val="00D7262E"/>
    <w:rsid w:val="00DA0622"/>
    <w:rsid w:val="00DA6E99"/>
    <w:rsid w:val="00DA79B5"/>
    <w:rsid w:val="00DB10C4"/>
    <w:rsid w:val="00DB7784"/>
    <w:rsid w:val="00DC0C53"/>
    <w:rsid w:val="00DC4195"/>
    <w:rsid w:val="00DC6689"/>
    <w:rsid w:val="00DC7140"/>
    <w:rsid w:val="00DC7F5D"/>
    <w:rsid w:val="00DD21A9"/>
    <w:rsid w:val="00DE08CF"/>
    <w:rsid w:val="00DE1A98"/>
    <w:rsid w:val="00DE2974"/>
    <w:rsid w:val="00DE4ED2"/>
    <w:rsid w:val="00DF4319"/>
    <w:rsid w:val="00DF49B0"/>
    <w:rsid w:val="00DF7315"/>
    <w:rsid w:val="00E04908"/>
    <w:rsid w:val="00E058B9"/>
    <w:rsid w:val="00E06879"/>
    <w:rsid w:val="00E234DB"/>
    <w:rsid w:val="00E2417A"/>
    <w:rsid w:val="00E24945"/>
    <w:rsid w:val="00E249AC"/>
    <w:rsid w:val="00E25992"/>
    <w:rsid w:val="00E268BB"/>
    <w:rsid w:val="00E36AB0"/>
    <w:rsid w:val="00E426B3"/>
    <w:rsid w:val="00E445E6"/>
    <w:rsid w:val="00E505EE"/>
    <w:rsid w:val="00E50ACF"/>
    <w:rsid w:val="00E514F8"/>
    <w:rsid w:val="00E52412"/>
    <w:rsid w:val="00E544F5"/>
    <w:rsid w:val="00E62C22"/>
    <w:rsid w:val="00E66DCD"/>
    <w:rsid w:val="00E72290"/>
    <w:rsid w:val="00E73818"/>
    <w:rsid w:val="00E7396E"/>
    <w:rsid w:val="00E75796"/>
    <w:rsid w:val="00E77191"/>
    <w:rsid w:val="00E80BED"/>
    <w:rsid w:val="00E91045"/>
    <w:rsid w:val="00E9571B"/>
    <w:rsid w:val="00E961ED"/>
    <w:rsid w:val="00E97BBC"/>
    <w:rsid w:val="00EA185A"/>
    <w:rsid w:val="00EA1E67"/>
    <w:rsid w:val="00EA39E2"/>
    <w:rsid w:val="00EA6BDD"/>
    <w:rsid w:val="00EA7D8F"/>
    <w:rsid w:val="00EB34B4"/>
    <w:rsid w:val="00EC1D17"/>
    <w:rsid w:val="00EC4100"/>
    <w:rsid w:val="00EC7B0D"/>
    <w:rsid w:val="00EC7BD9"/>
    <w:rsid w:val="00ED148E"/>
    <w:rsid w:val="00ED2DB8"/>
    <w:rsid w:val="00EE1CD4"/>
    <w:rsid w:val="00EF5AB2"/>
    <w:rsid w:val="00EF7767"/>
    <w:rsid w:val="00F01D39"/>
    <w:rsid w:val="00F04A97"/>
    <w:rsid w:val="00F1350E"/>
    <w:rsid w:val="00F162C3"/>
    <w:rsid w:val="00F1785F"/>
    <w:rsid w:val="00F17C76"/>
    <w:rsid w:val="00F223C1"/>
    <w:rsid w:val="00F2293D"/>
    <w:rsid w:val="00F243AA"/>
    <w:rsid w:val="00F25361"/>
    <w:rsid w:val="00F33947"/>
    <w:rsid w:val="00F34775"/>
    <w:rsid w:val="00F34963"/>
    <w:rsid w:val="00F34A38"/>
    <w:rsid w:val="00F40EAC"/>
    <w:rsid w:val="00F41DF8"/>
    <w:rsid w:val="00F474F9"/>
    <w:rsid w:val="00F500AD"/>
    <w:rsid w:val="00F55DD5"/>
    <w:rsid w:val="00F65A6D"/>
    <w:rsid w:val="00F70E81"/>
    <w:rsid w:val="00F7411C"/>
    <w:rsid w:val="00F77C0A"/>
    <w:rsid w:val="00F8219A"/>
    <w:rsid w:val="00F84715"/>
    <w:rsid w:val="00F84DA2"/>
    <w:rsid w:val="00F85DC7"/>
    <w:rsid w:val="00F85F1A"/>
    <w:rsid w:val="00F87037"/>
    <w:rsid w:val="00F90B64"/>
    <w:rsid w:val="00F921A6"/>
    <w:rsid w:val="00F9354C"/>
    <w:rsid w:val="00F95573"/>
    <w:rsid w:val="00FA06EF"/>
    <w:rsid w:val="00FA1A76"/>
    <w:rsid w:val="00FA76D5"/>
    <w:rsid w:val="00FB3F8B"/>
    <w:rsid w:val="00FC0838"/>
    <w:rsid w:val="00FC2D91"/>
    <w:rsid w:val="00FC7EB1"/>
    <w:rsid w:val="00FD06D6"/>
    <w:rsid w:val="00FD1B6C"/>
    <w:rsid w:val="00FD31BA"/>
    <w:rsid w:val="00FD3638"/>
    <w:rsid w:val="00FD68BC"/>
    <w:rsid w:val="00FE043B"/>
    <w:rsid w:val="00FE2E31"/>
    <w:rsid w:val="00FE7758"/>
    <w:rsid w:val="00FF3CA5"/>
    <w:rsid w:val="00FF4862"/>
    <w:rsid w:val="00FF56E4"/>
    <w:rsid w:val="00FF6FFE"/>
    <w:rsid w:val="00FF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7772"/>
  </w:style>
  <w:style w:type="character" w:customStyle="1" w:styleId="a4">
    <w:name w:val="日付 (文字)"/>
    <w:basedOn w:val="a0"/>
    <w:link w:val="a3"/>
    <w:uiPriority w:val="99"/>
    <w:semiHidden/>
    <w:rsid w:val="000C7772"/>
  </w:style>
  <w:style w:type="paragraph" w:styleId="a5">
    <w:name w:val="Balloon Text"/>
    <w:basedOn w:val="a"/>
    <w:link w:val="a6"/>
    <w:uiPriority w:val="99"/>
    <w:semiHidden/>
    <w:unhideWhenUsed/>
    <w:rsid w:val="00E514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14F8"/>
    <w:rPr>
      <w:rFonts w:asciiTheme="majorHAnsi" w:eastAsiaTheme="majorEastAsia" w:hAnsiTheme="majorHAnsi" w:cstheme="majorBidi"/>
      <w:sz w:val="18"/>
      <w:szCs w:val="18"/>
    </w:rPr>
  </w:style>
  <w:style w:type="paragraph" w:styleId="a7">
    <w:name w:val="header"/>
    <w:basedOn w:val="a"/>
    <w:link w:val="a8"/>
    <w:uiPriority w:val="99"/>
    <w:unhideWhenUsed/>
    <w:rsid w:val="009E62FD"/>
    <w:pPr>
      <w:tabs>
        <w:tab w:val="center" w:pos="4252"/>
        <w:tab w:val="right" w:pos="8504"/>
      </w:tabs>
      <w:snapToGrid w:val="0"/>
    </w:pPr>
  </w:style>
  <w:style w:type="character" w:customStyle="1" w:styleId="a8">
    <w:name w:val="ヘッダー (文字)"/>
    <w:basedOn w:val="a0"/>
    <w:link w:val="a7"/>
    <w:uiPriority w:val="99"/>
    <w:rsid w:val="009E62FD"/>
  </w:style>
  <w:style w:type="paragraph" w:styleId="a9">
    <w:name w:val="footer"/>
    <w:basedOn w:val="a"/>
    <w:link w:val="aa"/>
    <w:uiPriority w:val="99"/>
    <w:unhideWhenUsed/>
    <w:rsid w:val="009E62FD"/>
    <w:pPr>
      <w:tabs>
        <w:tab w:val="center" w:pos="4252"/>
        <w:tab w:val="right" w:pos="8504"/>
      </w:tabs>
      <w:snapToGrid w:val="0"/>
    </w:pPr>
  </w:style>
  <w:style w:type="character" w:customStyle="1" w:styleId="aa">
    <w:name w:val="フッター (文字)"/>
    <w:basedOn w:val="a0"/>
    <w:link w:val="a9"/>
    <w:uiPriority w:val="99"/>
    <w:rsid w:val="009E62FD"/>
  </w:style>
  <w:style w:type="table" w:styleId="ab">
    <w:name w:val="Table Grid"/>
    <w:basedOn w:val="a1"/>
    <w:uiPriority w:val="59"/>
    <w:rsid w:val="00BA7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1268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7772"/>
  </w:style>
  <w:style w:type="character" w:customStyle="1" w:styleId="a4">
    <w:name w:val="日付 (文字)"/>
    <w:basedOn w:val="a0"/>
    <w:link w:val="a3"/>
    <w:uiPriority w:val="99"/>
    <w:semiHidden/>
    <w:rsid w:val="000C7772"/>
  </w:style>
  <w:style w:type="paragraph" w:styleId="a5">
    <w:name w:val="Balloon Text"/>
    <w:basedOn w:val="a"/>
    <w:link w:val="a6"/>
    <w:uiPriority w:val="99"/>
    <w:semiHidden/>
    <w:unhideWhenUsed/>
    <w:rsid w:val="00E514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14F8"/>
    <w:rPr>
      <w:rFonts w:asciiTheme="majorHAnsi" w:eastAsiaTheme="majorEastAsia" w:hAnsiTheme="majorHAnsi" w:cstheme="majorBidi"/>
      <w:sz w:val="18"/>
      <w:szCs w:val="18"/>
    </w:rPr>
  </w:style>
  <w:style w:type="paragraph" w:styleId="a7">
    <w:name w:val="header"/>
    <w:basedOn w:val="a"/>
    <w:link w:val="a8"/>
    <w:uiPriority w:val="99"/>
    <w:unhideWhenUsed/>
    <w:rsid w:val="009E62FD"/>
    <w:pPr>
      <w:tabs>
        <w:tab w:val="center" w:pos="4252"/>
        <w:tab w:val="right" w:pos="8504"/>
      </w:tabs>
      <w:snapToGrid w:val="0"/>
    </w:pPr>
  </w:style>
  <w:style w:type="character" w:customStyle="1" w:styleId="a8">
    <w:name w:val="ヘッダー (文字)"/>
    <w:basedOn w:val="a0"/>
    <w:link w:val="a7"/>
    <w:uiPriority w:val="99"/>
    <w:rsid w:val="009E62FD"/>
  </w:style>
  <w:style w:type="paragraph" w:styleId="a9">
    <w:name w:val="footer"/>
    <w:basedOn w:val="a"/>
    <w:link w:val="aa"/>
    <w:uiPriority w:val="99"/>
    <w:unhideWhenUsed/>
    <w:rsid w:val="009E62FD"/>
    <w:pPr>
      <w:tabs>
        <w:tab w:val="center" w:pos="4252"/>
        <w:tab w:val="right" w:pos="8504"/>
      </w:tabs>
      <w:snapToGrid w:val="0"/>
    </w:pPr>
  </w:style>
  <w:style w:type="character" w:customStyle="1" w:styleId="aa">
    <w:name w:val="フッター (文字)"/>
    <w:basedOn w:val="a0"/>
    <w:link w:val="a9"/>
    <w:uiPriority w:val="99"/>
    <w:rsid w:val="009E62FD"/>
  </w:style>
  <w:style w:type="table" w:styleId="ab">
    <w:name w:val="Table Grid"/>
    <w:basedOn w:val="a1"/>
    <w:uiPriority w:val="59"/>
    <w:rsid w:val="00BA7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126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2F18E-B0BA-4F4A-A16D-57506402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徹也</dc:creator>
  <cp:lastModifiedBy>横山 徹也</cp:lastModifiedBy>
  <cp:revision>26</cp:revision>
  <cp:lastPrinted>2016-06-14T04:23:00Z</cp:lastPrinted>
  <dcterms:created xsi:type="dcterms:W3CDTF">2016-05-26T04:45:00Z</dcterms:created>
  <dcterms:modified xsi:type="dcterms:W3CDTF">2016-06-14T04:25:00Z</dcterms:modified>
</cp:coreProperties>
</file>